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2AEF" w:rsidRDefault="007D2AEF">
      <w:pPr>
        <w:pStyle w:val="normal0"/>
      </w:pPr>
      <w:bookmarkStart w:id="0" w:name="_GoBack"/>
      <w:bookmarkEnd w:id="0"/>
    </w:p>
    <w:tbl>
      <w:tblPr>
        <w:tblStyle w:val="a"/>
        <w:tblW w:w="10070" w:type="dxa"/>
        <w:tblInd w:w="0" w:type="dxa"/>
        <w:tblBorders>
          <w:top w:val="single" w:sz="24" w:space="0" w:color="000000"/>
          <w:left w:val="nil"/>
          <w:bottom w:val="nil"/>
          <w:right w:val="single" w:sz="24" w:space="0" w:color="000000"/>
          <w:insideH w:val="nil"/>
          <w:insideV w:val="nil"/>
        </w:tblBorders>
        <w:tblLayout w:type="fixed"/>
        <w:tblLook w:val="0000" w:firstRow="0" w:lastRow="0" w:firstColumn="0" w:lastColumn="0" w:noHBand="0" w:noVBand="0"/>
      </w:tblPr>
      <w:tblGrid>
        <w:gridCol w:w="1507"/>
        <w:gridCol w:w="1187"/>
        <w:gridCol w:w="2777"/>
        <w:gridCol w:w="1111"/>
        <w:gridCol w:w="3488"/>
      </w:tblGrid>
      <w:tr w:rsidR="007D2AEF">
        <w:tc>
          <w:tcPr>
            <w:tcW w:w="2694" w:type="dxa"/>
            <w:gridSpan w:val="2"/>
            <w:tcBorders>
              <w:top w:val="single" w:sz="24" w:space="0" w:color="000000"/>
              <w:left w:val="single" w:sz="6" w:space="0" w:color="000000"/>
              <w:bottom w:val="nil"/>
            </w:tcBorders>
            <w:shd w:val="clear" w:color="auto" w:fill="FFFFFF"/>
          </w:tcPr>
          <w:p w:rsidR="007D2AEF" w:rsidRDefault="000033BD">
            <w:pPr>
              <w:pStyle w:val="normal0"/>
              <w:spacing w:before="240"/>
            </w:pPr>
            <w:bookmarkStart w:id="1" w:name="h.gjdgxs" w:colFirst="0" w:colLast="0"/>
            <w:bookmarkEnd w:id="1"/>
            <w:r>
              <w:rPr>
                <w:noProof/>
                <w:lang w:val="en-US"/>
              </w:rPr>
              <w:drawing>
                <wp:inline distT="0" distB="0" distL="114300" distR="114300">
                  <wp:extent cx="1256665" cy="125603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256665" cy="1256030"/>
                          </a:xfrm>
                          <a:prstGeom prst="rect">
                            <a:avLst/>
                          </a:prstGeom>
                          <a:ln/>
                        </pic:spPr>
                      </pic:pic>
                    </a:graphicData>
                  </a:graphic>
                </wp:inline>
              </w:drawing>
            </w:r>
          </w:p>
        </w:tc>
        <w:tc>
          <w:tcPr>
            <w:tcW w:w="7376" w:type="dxa"/>
            <w:gridSpan w:val="3"/>
            <w:tcBorders>
              <w:top w:val="single" w:sz="24" w:space="0" w:color="000000"/>
              <w:bottom w:val="nil"/>
            </w:tcBorders>
            <w:shd w:val="clear" w:color="auto" w:fill="FFFFFF"/>
          </w:tcPr>
          <w:p w:rsidR="007D2AEF" w:rsidRDefault="000033BD">
            <w:pPr>
              <w:pStyle w:val="normal0"/>
              <w:tabs>
                <w:tab w:val="left" w:pos="399"/>
                <w:tab w:val="center" w:pos="3581"/>
              </w:tabs>
              <w:spacing w:before="120"/>
            </w:pPr>
            <w:r>
              <w:rPr>
                <w:rFonts w:ascii="Arial" w:eastAsia="Arial" w:hAnsi="Arial" w:cs="Arial"/>
                <w:b/>
                <w:color w:val="000080"/>
                <w:sz w:val="36"/>
              </w:rPr>
              <w:tab/>
            </w:r>
            <w:r>
              <w:rPr>
                <w:rFonts w:ascii="Arial" w:eastAsia="Arial" w:hAnsi="Arial" w:cs="Arial"/>
                <w:b/>
                <w:color w:val="000080"/>
                <w:sz w:val="36"/>
              </w:rPr>
              <w:tab/>
              <w:t>Referat styremøte</w:t>
            </w:r>
          </w:p>
        </w:tc>
      </w:tr>
      <w:tr w:rsidR="007D2AEF">
        <w:tc>
          <w:tcPr>
            <w:tcW w:w="2694" w:type="dxa"/>
            <w:gridSpan w:val="2"/>
            <w:tcBorders>
              <w:top w:val="single" w:sz="18" w:space="0" w:color="000000"/>
              <w:left w:val="single" w:sz="6" w:space="0" w:color="000000"/>
              <w:bottom w:val="nil"/>
            </w:tcBorders>
            <w:shd w:val="clear" w:color="auto" w:fill="FFFFFF"/>
          </w:tcPr>
          <w:p w:rsidR="007D2AEF" w:rsidRDefault="000033BD">
            <w:pPr>
              <w:pStyle w:val="normal0"/>
              <w:spacing w:before="60" w:after="60"/>
            </w:pPr>
            <w:r>
              <w:rPr>
                <w:rFonts w:ascii="Arial" w:eastAsia="Arial" w:hAnsi="Arial" w:cs="Arial"/>
                <w:b/>
                <w:sz w:val="20"/>
              </w:rPr>
              <w:t xml:space="preserve">Tid (dato, fra </w:t>
            </w:r>
            <w:proofErr w:type="spellStart"/>
            <w:r>
              <w:rPr>
                <w:rFonts w:ascii="Arial" w:eastAsia="Arial" w:hAnsi="Arial" w:cs="Arial"/>
                <w:b/>
                <w:sz w:val="20"/>
              </w:rPr>
              <w:t>kl</w:t>
            </w:r>
            <w:proofErr w:type="spellEnd"/>
            <w:r>
              <w:rPr>
                <w:rFonts w:ascii="Arial" w:eastAsia="Arial" w:hAnsi="Arial" w:cs="Arial"/>
                <w:b/>
                <w:sz w:val="20"/>
              </w:rPr>
              <w:t xml:space="preserve"> til </w:t>
            </w:r>
            <w:proofErr w:type="spellStart"/>
            <w:r>
              <w:rPr>
                <w:rFonts w:ascii="Arial" w:eastAsia="Arial" w:hAnsi="Arial" w:cs="Arial"/>
                <w:b/>
                <w:sz w:val="20"/>
              </w:rPr>
              <w:t>kl</w:t>
            </w:r>
            <w:proofErr w:type="spellEnd"/>
            <w:r>
              <w:rPr>
                <w:rFonts w:ascii="Arial" w:eastAsia="Arial" w:hAnsi="Arial" w:cs="Arial"/>
                <w:b/>
                <w:sz w:val="20"/>
              </w:rPr>
              <w:t>):</w:t>
            </w:r>
          </w:p>
        </w:tc>
        <w:tc>
          <w:tcPr>
            <w:tcW w:w="2777" w:type="dxa"/>
            <w:tcBorders>
              <w:top w:val="single" w:sz="18" w:space="0" w:color="000000"/>
              <w:bottom w:val="nil"/>
            </w:tcBorders>
            <w:shd w:val="clear" w:color="auto" w:fill="FFFFFF"/>
          </w:tcPr>
          <w:p w:rsidR="007D2AEF" w:rsidRDefault="000033BD">
            <w:pPr>
              <w:pStyle w:val="normal0"/>
              <w:spacing w:before="60" w:after="60"/>
            </w:pPr>
            <w:r>
              <w:t xml:space="preserve">23.-24. januar 2015 </w:t>
            </w:r>
            <w:proofErr w:type="spellStart"/>
            <w:r>
              <w:t>kl</w:t>
            </w:r>
            <w:proofErr w:type="spellEnd"/>
            <w:r>
              <w:t xml:space="preserve"> 1800-1111</w:t>
            </w:r>
          </w:p>
        </w:tc>
        <w:tc>
          <w:tcPr>
            <w:tcW w:w="1111" w:type="dxa"/>
            <w:tcBorders>
              <w:top w:val="single" w:sz="18" w:space="0" w:color="000000"/>
              <w:bottom w:val="nil"/>
            </w:tcBorders>
            <w:shd w:val="clear" w:color="auto" w:fill="FFFFFF"/>
          </w:tcPr>
          <w:p w:rsidR="007D2AEF" w:rsidRDefault="000033BD">
            <w:pPr>
              <w:pStyle w:val="normal0"/>
              <w:spacing w:before="60" w:after="60"/>
            </w:pPr>
            <w:r>
              <w:rPr>
                <w:rFonts w:ascii="Arial" w:eastAsia="Arial" w:hAnsi="Arial" w:cs="Arial"/>
                <w:b/>
                <w:sz w:val="20"/>
              </w:rPr>
              <w:t>Sted:</w:t>
            </w:r>
          </w:p>
        </w:tc>
        <w:tc>
          <w:tcPr>
            <w:tcW w:w="3488" w:type="dxa"/>
            <w:tcBorders>
              <w:top w:val="single" w:sz="18" w:space="0" w:color="000000"/>
              <w:bottom w:val="nil"/>
            </w:tcBorders>
          </w:tcPr>
          <w:p w:rsidR="007D2AEF" w:rsidRDefault="000033BD">
            <w:pPr>
              <w:pStyle w:val="normal0"/>
              <w:spacing w:before="60" w:after="60"/>
            </w:pPr>
            <w:r>
              <w:t xml:space="preserve">Mediegården, Bodø </w:t>
            </w:r>
          </w:p>
        </w:tc>
      </w:tr>
      <w:tr w:rsidR="007D2AEF">
        <w:tc>
          <w:tcPr>
            <w:tcW w:w="2694" w:type="dxa"/>
            <w:gridSpan w:val="2"/>
            <w:tcBorders>
              <w:top w:val="nil"/>
              <w:left w:val="single" w:sz="6" w:space="0" w:color="000000"/>
              <w:bottom w:val="single" w:sz="6" w:space="0" w:color="000000"/>
            </w:tcBorders>
            <w:shd w:val="clear" w:color="auto" w:fill="FFFFFF"/>
          </w:tcPr>
          <w:p w:rsidR="007D2AEF" w:rsidRDefault="000033BD">
            <w:pPr>
              <w:pStyle w:val="normal0"/>
              <w:spacing w:before="60" w:after="60"/>
            </w:pPr>
            <w:r>
              <w:rPr>
                <w:rFonts w:ascii="Arial" w:eastAsia="Arial" w:hAnsi="Arial" w:cs="Arial"/>
                <w:b/>
                <w:sz w:val="20"/>
              </w:rPr>
              <w:t>Innkalt av:</w:t>
            </w:r>
          </w:p>
        </w:tc>
        <w:tc>
          <w:tcPr>
            <w:tcW w:w="7376" w:type="dxa"/>
            <w:gridSpan w:val="3"/>
            <w:tcBorders>
              <w:top w:val="nil"/>
              <w:bottom w:val="single" w:sz="6" w:space="0" w:color="000000"/>
            </w:tcBorders>
          </w:tcPr>
          <w:p w:rsidR="007D2AEF" w:rsidRDefault="000033BD">
            <w:pPr>
              <w:pStyle w:val="normal0"/>
              <w:spacing w:before="60" w:after="60"/>
            </w:pPr>
            <w:r>
              <w:t>Anja Johansen</w:t>
            </w:r>
          </w:p>
        </w:tc>
      </w:tr>
      <w:tr w:rsidR="007D2AEF">
        <w:tc>
          <w:tcPr>
            <w:tcW w:w="1507" w:type="dxa"/>
            <w:tcBorders>
              <w:left w:val="single" w:sz="6" w:space="0" w:color="000000"/>
              <w:bottom w:val="nil"/>
            </w:tcBorders>
            <w:shd w:val="clear" w:color="auto" w:fill="FFFFFF"/>
          </w:tcPr>
          <w:p w:rsidR="007D2AEF" w:rsidRDefault="000033BD">
            <w:pPr>
              <w:pStyle w:val="normal0"/>
              <w:spacing w:before="60" w:after="60"/>
            </w:pPr>
            <w:r>
              <w:rPr>
                <w:rFonts w:ascii="Arial" w:eastAsia="Arial" w:hAnsi="Arial" w:cs="Arial"/>
                <w:b/>
                <w:sz w:val="20"/>
              </w:rPr>
              <w:t>Ordstyrer:</w:t>
            </w:r>
          </w:p>
        </w:tc>
        <w:tc>
          <w:tcPr>
            <w:tcW w:w="3964" w:type="dxa"/>
            <w:gridSpan w:val="2"/>
            <w:tcBorders>
              <w:bottom w:val="nil"/>
            </w:tcBorders>
            <w:shd w:val="clear" w:color="auto" w:fill="FFFFFF"/>
          </w:tcPr>
          <w:p w:rsidR="007D2AEF" w:rsidRDefault="000033BD">
            <w:pPr>
              <w:pStyle w:val="normal0"/>
              <w:spacing w:before="60" w:after="60"/>
            </w:pPr>
            <w:r>
              <w:t>Anja Johansen</w:t>
            </w:r>
          </w:p>
        </w:tc>
        <w:tc>
          <w:tcPr>
            <w:tcW w:w="1111" w:type="dxa"/>
            <w:tcBorders>
              <w:bottom w:val="nil"/>
            </w:tcBorders>
            <w:shd w:val="clear" w:color="auto" w:fill="FFFFFF"/>
          </w:tcPr>
          <w:p w:rsidR="007D2AEF" w:rsidRDefault="000033BD">
            <w:pPr>
              <w:pStyle w:val="normal0"/>
              <w:spacing w:before="60" w:after="60"/>
            </w:pPr>
            <w:r>
              <w:rPr>
                <w:rFonts w:ascii="Arial" w:eastAsia="Arial" w:hAnsi="Arial" w:cs="Arial"/>
                <w:b/>
                <w:sz w:val="20"/>
              </w:rPr>
              <w:t>Referent:</w:t>
            </w:r>
          </w:p>
        </w:tc>
        <w:tc>
          <w:tcPr>
            <w:tcW w:w="3488" w:type="dxa"/>
            <w:tcBorders>
              <w:bottom w:val="nil"/>
            </w:tcBorders>
          </w:tcPr>
          <w:p w:rsidR="007D2AEF" w:rsidRDefault="000033BD">
            <w:pPr>
              <w:pStyle w:val="normal0"/>
              <w:spacing w:before="60" w:after="60"/>
            </w:pPr>
            <w:r>
              <w:t>Hilde Nystad</w:t>
            </w:r>
          </w:p>
        </w:tc>
      </w:tr>
      <w:tr w:rsidR="007D2AEF">
        <w:tc>
          <w:tcPr>
            <w:tcW w:w="1507" w:type="dxa"/>
            <w:tcBorders>
              <w:top w:val="nil"/>
              <w:left w:val="single" w:sz="6" w:space="0" w:color="000000"/>
              <w:bottom w:val="nil"/>
            </w:tcBorders>
            <w:shd w:val="clear" w:color="auto" w:fill="FFFFFF"/>
          </w:tcPr>
          <w:p w:rsidR="007D2AEF" w:rsidRDefault="000033BD">
            <w:pPr>
              <w:pStyle w:val="normal0"/>
              <w:spacing w:before="60" w:after="60"/>
            </w:pPr>
            <w:r>
              <w:rPr>
                <w:rFonts w:ascii="Arial" w:eastAsia="Arial" w:hAnsi="Arial" w:cs="Arial"/>
                <w:b/>
                <w:sz w:val="20"/>
              </w:rPr>
              <w:t>Deltakere:</w:t>
            </w:r>
          </w:p>
        </w:tc>
        <w:tc>
          <w:tcPr>
            <w:tcW w:w="8563" w:type="dxa"/>
            <w:gridSpan w:val="4"/>
            <w:tcBorders>
              <w:top w:val="nil"/>
              <w:bottom w:val="nil"/>
            </w:tcBorders>
          </w:tcPr>
          <w:p w:rsidR="007D2AEF" w:rsidRDefault="000033BD">
            <w:pPr>
              <w:pStyle w:val="normal0"/>
            </w:pPr>
            <w:r>
              <w:t xml:space="preserve">Anja Johansen, Gøran Rasmussen Åland, Arne Ivar Mikalsen, Bjørg Helene Jenssen, Kjetil Dalland, Jostein Toftebakk, UV: Vilde Marie </w:t>
            </w:r>
            <w:proofErr w:type="spellStart"/>
            <w:r>
              <w:t>Ystmark</w:t>
            </w:r>
            <w:proofErr w:type="spellEnd"/>
            <w:r>
              <w:t xml:space="preserve">, valgkampkoordinator Terje </w:t>
            </w:r>
            <w:proofErr w:type="spellStart"/>
            <w:r>
              <w:t>Cruckshank</w:t>
            </w:r>
            <w:proofErr w:type="spellEnd"/>
            <w:r>
              <w:t xml:space="preserve"> (primært sak 06/15 og 08/15) og Hilde Nystad. I tillegg Børge Einvik for Bjørg Helene Jenssen fra </w:t>
            </w:r>
            <w:proofErr w:type="spellStart"/>
            <w:r>
              <w:t>kl</w:t>
            </w:r>
            <w:proofErr w:type="spellEnd"/>
            <w:r>
              <w:t xml:space="preserve"> 20.30-21.25 på fredag.</w:t>
            </w:r>
          </w:p>
        </w:tc>
      </w:tr>
      <w:tr w:rsidR="007D2AEF">
        <w:tc>
          <w:tcPr>
            <w:tcW w:w="1507" w:type="dxa"/>
            <w:tcBorders>
              <w:top w:val="nil"/>
              <w:left w:val="single" w:sz="6" w:space="0" w:color="000000"/>
              <w:bottom w:val="single" w:sz="4" w:space="0" w:color="000000"/>
            </w:tcBorders>
            <w:shd w:val="clear" w:color="auto" w:fill="FFFFFF"/>
          </w:tcPr>
          <w:p w:rsidR="007D2AEF" w:rsidRDefault="000033BD">
            <w:pPr>
              <w:pStyle w:val="normal0"/>
              <w:spacing w:before="60" w:after="60"/>
            </w:pPr>
            <w:r>
              <w:rPr>
                <w:rFonts w:ascii="Arial" w:eastAsia="Arial" w:hAnsi="Arial" w:cs="Arial"/>
                <w:b/>
                <w:sz w:val="20"/>
              </w:rPr>
              <w:t>Forfall:</w:t>
            </w:r>
          </w:p>
        </w:tc>
        <w:tc>
          <w:tcPr>
            <w:tcW w:w="8563" w:type="dxa"/>
            <w:gridSpan w:val="4"/>
            <w:tcBorders>
              <w:top w:val="nil"/>
              <w:bottom w:val="single" w:sz="4" w:space="0" w:color="000000"/>
            </w:tcBorders>
          </w:tcPr>
          <w:p w:rsidR="007D2AEF" w:rsidRDefault="000033BD">
            <w:pPr>
              <w:pStyle w:val="normal0"/>
            </w:pPr>
            <w:r>
              <w:t>VKLN: og fylkestingsgruppa: May Valle og Ida G Johansen.</w:t>
            </w:r>
          </w:p>
        </w:tc>
      </w:tr>
    </w:tbl>
    <w:p w:rsidR="007D2AEF" w:rsidRDefault="007D2AEF">
      <w:pPr>
        <w:pStyle w:val="normal0"/>
      </w:pPr>
    </w:p>
    <w:tbl>
      <w:tblPr>
        <w:tblStyle w:val="a0"/>
        <w:tblW w:w="10080" w:type="dxa"/>
        <w:tblInd w:w="0" w:type="dxa"/>
        <w:tblBorders>
          <w:top w:val="single" w:sz="24" w:space="0" w:color="000000"/>
          <w:left w:val="nil"/>
          <w:bottom w:val="nil"/>
          <w:right w:val="single" w:sz="24" w:space="0" w:color="000000"/>
          <w:insideH w:val="nil"/>
          <w:insideV w:val="nil"/>
        </w:tblBorders>
        <w:tblLayout w:type="fixed"/>
        <w:tblLook w:val="0000" w:firstRow="0" w:lastRow="0" w:firstColumn="0" w:lastColumn="0" w:noHBand="0" w:noVBand="0"/>
      </w:tblPr>
      <w:tblGrid>
        <w:gridCol w:w="1507"/>
        <w:gridCol w:w="8573"/>
      </w:tblGrid>
      <w:tr w:rsidR="007D2AEF">
        <w:tc>
          <w:tcPr>
            <w:tcW w:w="10080" w:type="dxa"/>
            <w:gridSpan w:val="2"/>
            <w:tcBorders>
              <w:top w:val="single" w:sz="24" w:space="0" w:color="000000"/>
              <w:left w:val="single" w:sz="6" w:space="0" w:color="000000"/>
              <w:bottom w:val="single" w:sz="6" w:space="0" w:color="000000"/>
            </w:tcBorders>
            <w:shd w:val="clear" w:color="auto" w:fill="FFFFFF"/>
          </w:tcPr>
          <w:p w:rsidR="007D2AEF" w:rsidRDefault="000033BD">
            <w:pPr>
              <w:pStyle w:val="normal0"/>
              <w:spacing w:before="60" w:after="60"/>
            </w:pPr>
            <w:r>
              <w:rPr>
                <w:rFonts w:ascii="Arial" w:eastAsia="Arial" w:hAnsi="Arial" w:cs="Arial"/>
                <w:b/>
                <w:sz w:val="20"/>
              </w:rPr>
              <w:t>Saksliste:</w:t>
            </w:r>
          </w:p>
        </w:tc>
      </w:tr>
      <w:tr w:rsidR="007D2AEF">
        <w:trPr>
          <w:trHeight w:val="40"/>
        </w:trPr>
        <w:tc>
          <w:tcPr>
            <w:tcW w:w="1507" w:type="dxa"/>
            <w:tcBorders>
              <w:top w:val="nil"/>
              <w:left w:val="single" w:sz="6" w:space="0" w:color="000000"/>
              <w:bottom w:val="nil"/>
              <w:right w:val="nil"/>
            </w:tcBorders>
          </w:tcPr>
          <w:p w:rsidR="007D2AEF" w:rsidRDefault="007D2AEF">
            <w:pPr>
              <w:pStyle w:val="normal0"/>
              <w:spacing w:before="60" w:after="60"/>
              <w:jc w:val="right"/>
            </w:pPr>
          </w:p>
        </w:tc>
        <w:tc>
          <w:tcPr>
            <w:tcW w:w="8573" w:type="dxa"/>
            <w:tcBorders>
              <w:top w:val="nil"/>
              <w:left w:val="nil"/>
              <w:bottom w:val="nil"/>
            </w:tcBorders>
          </w:tcPr>
          <w:p w:rsidR="007D2AEF" w:rsidRDefault="007D2AEF">
            <w:pPr>
              <w:pStyle w:val="normal0"/>
              <w:spacing w:before="60" w:after="60"/>
            </w:pPr>
          </w:p>
        </w:tc>
      </w:tr>
      <w:tr w:rsidR="007D2AEF">
        <w:tc>
          <w:tcPr>
            <w:tcW w:w="1507" w:type="dxa"/>
            <w:tcBorders>
              <w:top w:val="nil"/>
              <w:left w:val="single" w:sz="6" w:space="0" w:color="000000"/>
              <w:bottom w:val="single" w:sz="6" w:space="0" w:color="000000"/>
              <w:right w:val="nil"/>
            </w:tcBorders>
          </w:tcPr>
          <w:p w:rsidR="007D2AEF" w:rsidRDefault="007D2AEF">
            <w:pPr>
              <w:pStyle w:val="normal0"/>
              <w:spacing w:before="60" w:after="60"/>
              <w:ind w:left="1134"/>
              <w:jc w:val="both"/>
            </w:pPr>
          </w:p>
        </w:tc>
        <w:tc>
          <w:tcPr>
            <w:tcW w:w="8573" w:type="dxa"/>
            <w:tcBorders>
              <w:top w:val="nil"/>
              <w:left w:val="nil"/>
              <w:bottom w:val="single" w:sz="6" w:space="0" w:color="000000"/>
            </w:tcBorders>
          </w:tcPr>
          <w:p w:rsidR="007D2AEF" w:rsidRDefault="000033BD">
            <w:pPr>
              <w:pStyle w:val="normal0"/>
              <w:spacing w:before="60" w:after="60"/>
              <w:ind w:left="283" w:hanging="282"/>
            </w:pPr>
            <w:r>
              <w:rPr>
                <w:b/>
              </w:rPr>
              <w:t>Godkjenning av innkalling og saksliste</w:t>
            </w:r>
          </w:p>
          <w:p w:rsidR="007D2AEF" w:rsidRDefault="000033BD">
            <w:pPr>
              <w:pStyle w:val="normal0"/>
              <w:spacing w:before="60" w:after="60"/>
            </w:pPr>
            <w:r>
              <w:t>Saksliste:</w:t>
            </w:r>
          </w:p>
          <w:p w:rsidR="007D2AEF" w:rsidRDefault="000033BD">
            <w:pPr>
              <w:pStyle w:val="normal0"/>
            </w:pPr>
            <w:r>
              <w:t>Sak 02/15</w:t>
            </w:r>
            <w:r>
              <w:tab/>
              <w:t>Fylkesårsmøtet</w:t>
            </w:r>
          </w:p>
          <w:p w:rsidR="007D2AEF" w:rsidRDefault="000033BD">
            <w:pPr>
              <w:pStyle w:val="normal0"/>
            </w:pPr>
            <w:r>
              <w:t>Sak 03/15</w:t>
            </w:r>
            <w:r>
              <w:tab/>
              <w:t>Nordland Venstres program for fylkestingsvalget 2015</w:t>
            </w:r>
          </w:p>
          <w:p w:rsidR="007D2AEF" w:rsidRDefault="000033BD">
            <w:pPr>
              <w:pStyle w:val="normal0"/>
            </w:pPr>
            <w:r>
              <w:t>Sak 04/15</w:t>
            </w:r>
            <w:r>
              <w:tab/>
              <w:t>Omrokkering av styreverv på grunn av valgkamp</w:t>
            </w:r>
          </w:p>
          <w:p w:rsidR="007D2AEF" w:rsidRDefault="000033BD">
            <w:pPr>
              <w:pStyle w:val="normal0"/>
            </w:pPr>
            <w:r>
              <w:t>Sak 05/15</w:t>
            </w:r>
            <w:r>
              <w:tab/>
              <w:t xml:space="preserve">Styrets ansvarsfordeling </w:t>
            </w:r>
          </w:p>
          <w:p w:rsidR="007D2AEF" w:rsidRDefault="000033BD">
            <w:pPr>
              <w:pStyle w:val="normal0"/>
            </w:pPr>
            <w:r>
              <w:t>Sak 06/15</w:t>
            </w:r>
            <w:r>
              <w:tab/>
              <w:t>Presentasjon av status i valgkamparbeidet</w:t>
            </w:r>
          </w:p>
          <w:p w:rsidR="007D2AEF" w:rsidRDefault="000033BD">
            <w:pPr>
              <w:pStyle w:val="normal0"/>
            </w:pPr>
            <w:r>
              <w:t>Sak 07/15</w:t>
            </w:r>
            <w:r>
              <w:tab/>
              <w:t>Økonomirapportering.</w:t>
            </w:r>
          </w:p>
          <w:p w:rsidR="007D2AEF" w:rsidRDefault="000033BD">
            <w:pPr>
              <w:pStyle w:val="normal0"/>
            </w:pPr>
            <w:r>
              <w:t>Sak 08/15</w:t>
            </w:r>
            <w:r>
              <w:tab/>
              <w:t xml:space="preserve">Valgkampbudsjett </w:t>
            </w:r>
          </w:p>
          <w:p w:rsidR="007D2AEF" w:rsidRDefault="000033BD">
            <w:pPr>
              <w:pStyle w:val="normal0"/>
            </w:pPr>
            <w:r>
              <w:t>Sak 09/15</w:t>
            </w:r>
            <w:r>
              <w:tab/>
              <w:t xml:space="preserve">Listestilling til kommunevalget 2015 </w:t>
            </w:r>
          </w:p>
          <w:p w:rsidR="000033BD" w:rsidRDefault="000033BD">
            <w:pPr>
              <w:pStyle w:val="normal0"/>
            </w:pPr>
          </w:p>
          <w:p w:rsidR="007D2AEF" w:rsidRDefault="000033BD">
            <w:pPr>
              <w:pStyle w:val="normal0"/>
              <w:spacing w:before="60" w:after="60"/>
            </w:pPr>
            <w:r>
              <w:rPr>
                <w:b/>
              </w:rPr>
              <w:t>Vedtak: Innkalling og saksliste godkjent.</w:t>
            </w:r>
          </w:p>
        </w:tc>
      </w:tr>
      <w:tr w:rsidR="007D2AEF">
        <w:tc>
          <w:tcPr>
            <w:tcW w:w="1507" w:type="dxa"/>
            <w:tcBorders>
              <w:top w:val="nil"/>
              <w:left w:val="single" w:sz="6" w:space="0" w:color="000000"/>
              <w:bottom w:val="nil"/>
              <w:right w:val="nil"/>
            </w:tcBorders>
          </w:tcPr>
          <w:p w:rsidR="007D2AEF" w:rsidRDefault="007D2AEF">
            <w:pPr>
              <w:pStyle w:val="normal0"/>
              <w:numPr>
                <w:ilvl w:val="0"/>
                <w:numId w:val="2"/>
              </w:numPr>
              <w:spacing w:before="60" w:after="60"/>
              <w:ind w:left="0" w:firstLine="0"/>
            </w:pPr>
          </w:p>
        </w:tc>
        <w:tc>
          <w:tcPr>
            <w:tcW w:w="8573" w:type="dxa"/>
            <w:tcBorders>
              <w:top w:val="nil"/>
              <w:left w:val="nil"/>
              <w:bottom w:val="nil"/>
            </w:tcBorders>
          </w:tcPr>
          <w:p w:rsidR="007D2AEF" w:rsidRDefault="000033BD">
            <w:pPr>
              <w:pStyle w:val="normal0"/>
              <w:spacing w:before="60" w:after="60"/>
            </w:pPr>
            <w:r>
              <w:rPr>
                <w:b/>
                <w:color w:val="1A1A1A"/>
              </w:rPr>
              <w:t>Nordland Venstres deltakelse i sentral annonsekampanje 2015</w:t>
            </w:r>
            <w:r>
              <w:rPr>
                <w:color w:val="1A1A1A"/>
              </w:rPr>
              <w:t> </w:t>
            </w:r>
          </w:p>
          <w:p w:rsidR="007D2AEF" w:rsidRPr="000033BD" w:rsidRDefault="000033BD">
            <w:pPr>
              <w:pStyle w:val="normal0"/>
              <w:widowControl w:val="0"/>
              <w:rPr>
                <w:i/>
              </w:rPr>
            </w:pPr>
            <w:r w:rsidRPr="000033BD">
              <w:rPr>
                <w:i/>
                <w:color w:val="1A1A1A"/>
              </w:rPr>
              <w:t xml:space="preserve">Saken er behandlet i en mailutveksling i forkant av styremøtet. </w:t>
            </w:r>
          </w:p>
          <w:p w:rsidR="007D2AEF" w:rsidRDefault="000033BD">
            <w:pPr>
              <w:pStyle w:val="normal0"/>
              <w:widowControl w:val="0"/>
            </w:pPr>
            <w:r>
              <w:rPr>
                <w:color w:val="1A1A1A"/>
              </w:rPr>
              <w:t xml:space="preserve">Nordland Venstre har mottatt en anmodning fra VHO om å signalisere hvilken andel fylkeslaget ønsker å bidra med til den nasjonale annonsekampanjen i tilknytning til valgkampen 2015.  VHO v/ informasjonssjef Steinar Haugsvær foretar sentrale forhandlinger og oppnår dermed meget gode avtaler for annonsering og </w:t>
            </w:r>
            <w:r>
              <w:rPr>
                <w:color w:val="1A1A1A"/>
              </w:rPr>
              <w:lastRenderedPageBreak/>
              <w:t>markedsføring. Man kan med rimelighet påstå at sentrale avtaler angående dette gir både breiere og billigere medieoppslag enn fylkeslagene rundt i landet ville ha oppnådd på egen hånd.  </w:t>
            </w:r>
          </w:p>
          <w:p w:rsidR="007D2AEF" w:rsidRDefault="000033BD">
            <w:pPr>
              <w:pStyle w:val="normal0"/>
              <w:widowControl w:val="0"/>
            </w:pPr>
            <w:r>
              <w:rPr>
                <w:color w:val="1A1A1A"/>
              </w:rPr>
              <w:t>Tidligere valgår har Nordland Venstre bidratt med 20.000,- til den nasjonale annonsekampanjen. Bodø Venstre har i styrevedtak satt av inntil 10.000,- til den nasjonale annonsekampanjen, forutsatt at Nordland Venstre velger å delta (dersom NV bidrar med kr 40 000, bidrar Bodø V med kr 10 000. Dersom NV bidrar med kr 20 000, bidrar Bodø V med kr 5 000). Bodø er blant de kommunene VHO prioriterer (bl.a. gjennom skolering) fram mot valget i september 2015). </w:t>
            </w:r>
          </w:p>
          <w:p w:rsidR="007D2AEF" w:rsidRDefault="000033BD">
            <w:pPr>
              <w:pStyle w:val="normal0"/>
              <w:widowControl w:val="0"/>
            </w:pPr>
            <w:r>
              <w:rPr>
                <w:color w:val="1A1A1A"/>
              </w:rPr>
              <w:t xml:space="preserve">Erfaringene med den nasjonale annonsekampanjen er positive.  Mulighetene for lokal/fylkesvis tilpasning er gode (kandidater + budskap).  Ved å prioritere denne delen av valgkamparbeidet økonomisk, vil man nå breiere ut. I tillegg til </w:t>
            </w:r>
            <w:proofErr w:type="spellStart"/>
            <w:r>
              <w:rPr>
                <w:color w:val="1A1A1A"/>
              </w:rPr>
              <w:t>Facebook</w:t>
            </w:r>
            <w:proofErr w:type="spellEnd"/>
            <w:r>
              <w:rPr>
                <w:color w:val="1A1A1A"/>
              </w:rPr>
              <w:t>-annonsering, nettavisannonsering og andre digitale annonseringer, vil man i år får annonsering i trykte medier (aviser, magasiner) og på Boards.  Jo høyere bidrag til den nasjonale annonsekampanjen, desto breiere når man ut, både i tid og bredde.   </w:t>
            </w:r>
          </w:p>
          <w:p w:rsidR="007D2AEF" w:rsidRDefault="000033BD">
            <w:pPr>
              <w:pStyle w:val="normal0"/>
              <w:widowControl w:val="0"/>
            </w:pPr>
            <w:r>
              <w:rPr>
                <w:color w:val="1A1A1A"/>
              </w:rPr>
              <w:t>Valgkamputvalget anbefaler styret om å utelukkende satse sine annonsemidler for valgkampen 2015 på den nasjonale annonsekampanjen.  </w:t>
            </w:r>
          </w:p>
          <w:p w:rsidR="007D2AEF" w:rsidRDefault="007D2AEF">
            <w:pPr>
              <w:pStyle w:val="normal0"/>
              <w:widowControl w:val="0"/>
            </w:pPr>
          </w:p>
          <w:p w:rsidR="007D2AEF" w:rsidRDefault="000033BD">
            <w:pPr>
              <w:pStyle w:val="normal0"/>
              <w:widowControl w:val="0"/>
            </w:pPr>
            <w:r>
              <w:rPr>
                <w:b/>
              </w:rPr>
              <w:t xml:space="preserve">Vedtak: </w:t>
            </w:r>
            <w:r>
              <w:rPr>
                <w:b/>
                <w:color w:val="1A1A1A"/>
              </w:rPr>
              <w:t>Nordland Venstre setter av 40 000,- som sin andel av den nasjonale annonsekampanjen i tilknytning til valgkampen 2015. Nordland Venstre oppfordrer lokallagene til å prioritere den nasjonale annonsekampanjen framfor egen annonsering.  </w:t>
            </w:r>
          </w:p>
          <w:p w:rsidR="007D2AEF" w:rsidRDefault="000033BD">
            <w:pPr>
              <w:pStyle w:val="normal0"/>
              <w:widowControl w:val="0"/>
            </w:pPr>
            <w:r>
              <w:rPr>
                <w:b/>
                <w:color w:val="1A1A1A"/>
              </w:rPr>
              <w:t>Nordland Venstre delegerer til valgkamputvalget å koordinere annonsekampanjen mot VHO. </w:t>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spacing w:before="60" w:after="60"/>
              <w:ind w:left="35" w:firstLine="0"/>
            </w:pPr>
          </w:p>
        </w:tc>
        <w:tc>
          <w:tcPr>
            <w:tcW w:w="8573" w:type="dxa"/>
            <w:tcBorders>
              <w:top w:val="single" w:sz="6" w:space="0" w:color="000000"/>
              <w:left w:val="nil"/>
              <w:bottom w:val="single" w:sz="6" w:space="0" w:color="000000"/>
            </w:tcBorders>
          </w:tcPr>
          <w:p w:rsidR="007D2AEF" w:rsidRDefault="000033BD">
            <w:pPr>
              <w:pStyle w:val="normal0"/>
            </w:pPr>
            <w:r>
              <w:rPr>
                <w:b/>
              </w:rPr>
              <w:t>Fylkesårsmøtet</w:t>
            </w:r>
          </w:p>
          <w:p w:rsidR="007D2AEF" w:rsidRDefault="000033BD">
            <w:pPr>
              <w:pStyle w:val="normal0"/>
            </w:pPr>
            <w:r>
              <w:t xml:space="preserve">Styret gikk gjennom oppgavene som skal gjøres </w:t>
            </w:r>
            <w:proofErr w:type="spellStart"/>
            <w:r>
              <w:t>ifm</w:t>
            </w:r>
            <w:proofErr w:type="spellEnd"/>
            <w:r>
              <w:t xml:space="preserve"> med og i fylkesårsmøtet. Saker som ble spesielt diskutert var hvem som skulle skrive årsmelding og hvordan den skulle behandles av styret, behov for vedtektsendringer, temaer og antall uttalelser fra årsmøtet, forslag på hvem som skal ivareta praktiske oppgaver under møtet og forslag på miljøpris.</w:t>
            </w:r>
          </w:p>
          <w:p w:rsidR="000033BD" w:rsidRDefault="000033BD">
            <w:pPr>
              <w:pStyle w:val="normal0"/>
            </w:pPr>
          </w:p>
          <w:p w:rsidR="007D2AEF" w:rsidRDefault="000033BD" w:rsidP="000033BD">
            <w:pPr>
              <w:pStyle w:val="normal0"/>
            </w:pPr>
            <w:r>
              <w:rPr>
                <w:b/>
              </w:rPr>
              <w:t xml:space="preserve">Vedtak: </w:t>
            </w:r>
            <w:r>
              <w:rPr>
                <w:b/>
                <w:color w:val="1A1A1A"/>
              </w:rPr>
              <w:t>Leder skriver utkast til årsmelding. Kasserer ser på konsekvensen av at kontingenten er vedtatt sentralt skal være lik i hele landet. Det skal være maks 5 uttalelser fra årsmøtet og styret mener at 3 av temaene bør være fiskeri/sjømat (Arne Ivar Mikalsen og Gøran Rasmussen Åland), samferdsel (hurtigbåt) (May Valle) og kommunereform (Bjørg Helene Jenssen). Vinner av miljøprisen ble bestemt, og blir offentliggjort på årsmøtet.</w:t>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spacing w:before="60" w:after="60"/>
              <w:ind w:left="35" w:firstLine="0"/>
            </w:pPr>
          </w:p>
        </w:tc>
        <w:tc>
          <w:tcPr>
            <w:tcW w:w="8573" w:type="dxa"/>
            <w:tcBorders>
              <w:top w:val="single" w:sz="6" w:space="0" w:color="000000"/>
              <w:left w:val="nil"/>
              <w:bottom w:val="single" w:sz="6" w:space="0" w:color="000000"/>
            </w:tcBorders>
          </w:tcPr>
          <w:p w:rsidR="007D2AEF" w:rsidRDefault="000033BD">
            <w:pPr>
              <w:pStyle w:val="normal0"/>
            </w:pPr>
            <w:r>
              <w:rPr>
                <w:b/>
              </w:rPr>
              <w:t>Nordland Venstres program for fylkestingsvalget 2015</w:t>
            </w:r>
          </w:p>
          <w:p w:rsidR="007D2AEF" w:rsidRDefault="000033BD">
            <w:pPr>
              <w:pStyle w:val="normal0"/>
            </w:pPr>
            <w:r>
              <w:t>Programkomiteens leder la frem arbeidet som er gjort så langt. I stedet for å ha et eget kapittel til UV skal hele programmet til styret for å sjekke at ungdomsaspektet gjennomsyrer programmet. I tillegg må det sees på å få kulturminner og samisk perspektiv inn. Kapitlet om utdanning må gjennomarbeides. Bjørg Helene Jenssen ser på kapittel om næringsliv. UV ser om ungdomsaspektet er ivaretatt godt nok.</w:t>
            </w:r>
          </w:p>
          <w:p w:rsidR="007D2AEF" w:rsidRDefault="000033BD">
            <w:pPr>
              <w:pStyle w:val="normal0"/>
            </w:pPr>
            <w:r>
              <w:rPr>
                <w:b/>
              </w:rPr>
              <w:lastRenderedPageBreak/>
              <w:t xml:space="preserve">Vedtak: </w:t>
            </w:r>
            <w:r>
              <w:rPr>
                <w:b/>
                <w:color w:val="1A1A1A"/>
              </w:rPr>
              <w:t xml:space="preserve">Orienteringen tas til etterretning. </w:t>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ind w:left="0" w:firstLine="0"/>
              <w:rPr>
                <w:color w:val="1A1A1A"/>
              </w:rPr>
            </w:pPr>
          </w:p>
        </w:tc>
        <w:tc>
          <w:tcPr>
            <w:tcW w:w="8573" w:type="dxa"/>
            <w:tcBorders>
              <w:top w:val="single" w:sz="6" w:space="0" w:color="000000"/>
              <w:left w:val="nil"/>
              <w:bottom w:val="single" w:sz="6" w:space="0" w:color="000000"/>
            </w:tcBorders>
          </w:tcPr>
          <w:p w:rsidR="007D2AEF" w:rsidRDefault="000033BD">
            <w:pPr>
              <w:pStyle w:val="normal0"/>
            </w:pPr>
            <w:r>
              <w:rPr>
                <w:b/>
              </w:rPr>
              <w:t>Omrokkering av styreverv på grunn av valgkamp</w:t>
            </w:r>
          </w:p>
          <w:p w:rsidR="007D2AEF" w:rsidRDefault="000033BD">
            <w:pPr>
              <w:pStyle w:val="normal0"/>
            </w:pPr>
            <w:r>
              <w:t xml:space="preserve">Valgkamp og sykdom medfører behov for endringer i syret for å sikre en best mulig ivaretakelse av oppgavene. </w:t>
            </w:r>
            <w:r>
              <w:rPr>
                <w:i/>
                <w:sz w:val="22"/>
              </w:rPr>
              <w:t xml:space="preserve">Det er styrets vurdering at noe omrokkering av hvem som fyller hvilke funksjoner i styret for Nordland Venstre, er nødvendig. Styret ser fra og med 23/1 2015 slik ut: </w:t>
            </w:r>
            <w:r>
              <w:t xml:space="preserve"> </w:t>
            </w:r>
          </w:p>
          <w:p w:rsidR="007D2AEF" w:rsidRDefault="000033BD">
            <w:pPr>
              <w:pStyle w:val="normal0"/>
            </w:pPr>
            <w:r>
              <w:t>Fungerende leder: Anja Johansen</w:t>
            </w:r>
          </w:p>
          <w:p w:rsidR="007D2AEF" w:rsidRDefault="000033BD">
            <w:pPr>
              <w:pStyle w:val="normal0"/>
            </w:pPr>
            <w:r>
              <w:t>Politisk nestleder: Jostein Toftebakk</w:t>
            </w:r>
          </w:p>
          <w:p w:rsidR="007D2AEF" w:rsidRDefault="000033BD">
            <w:pPr>
              <w:pStyle w:val="normal0"/>
            </w:pPr>
            <w:r>
              <w:t>Organisatorisk nestleder: Bjørg Helene Jenssen</w:t>
            </w:r>
          </w:p>
          <w:p w:rsidR="007D2AEF" w:rsidRDefault="000033BD">
            <w:pPr>
              <w:pStyle w:val="normal0"/>
            </w:pPr>
            <w:r>
              <w:t>Sekretær: Gøran Rasmussen Åland</w:t>
            </w:r>
          </w:p>
          <w:p w:rsidR="007D2AEF" w:rsidRDefault="000033BD">
            <w:pPr>
              <w:pStyle w:val="normal0"/>
            </w:pPr>
            <w:r>
              <w:t>Kasserer: Kjetil Dalland</w:t>
            </w:r>
          </w:p>
          <w:p w:rsidR="007D2AEF" w:rsidRDefault="000033BD">
            <w:pPr>
              <w:pStyle w:val="normal0"/>
            </w:pPr>
            <w:r>
              <w:t>Styremedlem: Arne Ivar Mikalsen</w:t>
            </w:r>
          </w:p>
          <w:p w:rsidR="007D2AEF" w:rsidRDefault="000033BD">
            <w:pPr>
              <w:pStyle w:val="normal0"/>
            </w:pPr>
            <w:r>
              <w:t xml:space="preserve">Styremedlem: Hilde Nystad </w:t>
            </w:r>
          </w:p>
          <w:p w:rsidR="007D2AEF" w:rsidRDefault="000033BD">
            <w:pPr>
              <w:pStyle w:val="normal0"/>
            </w:pPr>
            <w:r>
              <w:t xml:space="preserve">Styremedlem, UV: Vilde Marie </w:t>
            </w:r>
            <w:proofErr w:type="spellStart"/>
            <w:r>
              <w:t>Ystmark</w:t>
            </w:r>
            <w:proofErr w:type="spellEnd"/>
          </w:p>
          <w:p w:rsidR="007D2AEF" w:rsidRDefault="000033BD">
            <w:pPr>
              <w:pStyle w:val="normal0"/>
            </w:pPr>
            <w:r>
              <w:t xml:space="preserve">Vara 1: Arild </w:t>
            </w:r>
            <w:proofErr w:type="spellStart"/>
            <w:r>
              <w:t>Dahlheim</w:t>
            </w:r>
            <w:proofErr w:type="spellEnd"/>
          </w:p>
          <w:p w:rsidR="007D2AEF" w:rsidRDefault="000033BD">
            <w:pPr>
              <w:pStyle w:val="normal0"/>
            </w:pPr>
            <w:r>
              <w:t>Vara 2: Ida Gudding Johnsen</w:t>
            </w:r>
          </w:p>
          <w:p w:rsidR="007D2AEF" w:rsidRDefault="000033BD">
            <w:pPr>
              <w:pStyle w:val="normal0"/>
            </w:pPr>
            <w:r>
              <w:t>Vara 3: Mary Ann Dahl</w:t>
            </w:r>
          </w:p>
          <w:p w:rsidR="007D2AEF" w:rsidRDefault="000033BD">
            <w:pPr>
              <w:pStyle w:val="normal0"/>
            </w:pPr>
            <w:r>
              <w:t>Vara 4: Børge Einvik</w:t>
            </w:r>
          </w:p>
          <w:p w:rsidR="007D2AEF" w:rsidRDefault="000033BD">
            <w:pPr>
              <w:pStyle w:val="normal0"/>
            </w:pPr>
            <w:r>
              <w:t>Vara 5: velges under fylkesårsmøtet</w:t>
            </w:r>
          </w:p>
          <w:p w:rsidR="007D2AEF" w:rsidRDefault="000033BD">
            <w:pPr>
              <w:pStyle w:val="normal0"/>
            </w:pPr>
            <w:r>
              <w:t xml:space="preserve">Fylkestingsrepresentant May Valle tiltrår styremøtene så fremt ho har anledning. </w:t>
            </w:r>
          </w:p>
          <w:p w:rsidR="000033BD" w:rsidRDefault="000033BD">
            <w:pPr>
              <w:pStyle w:val="normal0"/>
            </w:pPr>
          </w:p>
          <w:p w:rsidR="007D2AEF" w:rsidRDefault="000033BD">
            <w:pPr>
              <w:pStyle w:val="normal0"/>
            </w:pPr>
            <w:r>
              <w:rPr>
                <w:b/>
              </w:rPr>
              <w:t xml:space="preserve">Vedtak: </w:t>
            </w:r>
            <w:r>
              <w:rPr>
                <w:b/>
                <w:color w:val="1A1A1A"/>
              </w:rPr>
              <w:t>I henhold til forslag</w:t>
            </w:r>
            <w:r>
              <w:rPr>
                <w:b/>
              </w:rPr>
              <w:tab/>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ind w:left="35" w:firstLine="0"/>
              <w:rPr>
                <w:color w:val="1A1A1A"/>
              </w:rPr>
            </w:pPr>
          </w:p>
        </w:tc>
        <w:tc>
          <w:tcPr>
            <w:tcW w:w="8573" w:type="dxa"/>
            <w:tcBorders>
              <w:top w:val="single" w:sz="6" w:space="0" w:color="000000"/>
              <w:left w:val="nil"/>
              <w:bottom w:val="single" w:sz="6" w:space="0" w:color="000000"/>
            </w:tcBorders>
          </w:tcPr>
          <w:p w:rsidR="007D2AEF" w:rsidRDefault="000033BD">
            <w:pPr>
              <w:pStyle w:val="normal0"/>
            </w:pPr>
            <w:r>
              <w:rPr>
                <w:b/>
              </w:rPr>
              <w:t>Styrets ansvarsfordeling</w:t>
            </w:r>
            <w:r>
              <w:t xml:space="preserve"> </w:t>
            </w:r>
          </w:p>
          <w:p w:rsidR="007D2AEF" w:rsidRDefault="000033BD" w:rsidP="000033BD">
            <w:pPr>
              <w:pStyle w:val="normal0"/>
            </w:pPr>
            <w:r>
              <w:t xml:space="preserve">Diskusjonssak. Hvilke oppgaver ligger til de ulike styrevervene, vår forventingshorisont til hverandre. Notat som grunnlag for diskusjon kommer fra styreleder. </w:t>
            </w:r>
            <w:r>
              <w:rPr>
                <w:b/>
              </w:rPr>
              <w:t xml:space="preserve"> </w:t>
            </w:r>
          </w:p>
          <w:p w:rsidR="007D2AEF" w:rsidRDefault="007D2AEF">
            <w:pPr>
              <w:pStyle w:val="normal0"/>
              <w:spacing w:before="60" w:after="60"/>
            </w:pPr>
          </w:p>
          <w:p w:rsidR="007D2AEF" w:rsidRDefault="000033BD">
            <w:pPr>
              <w:pStyle w:val="normal0"/>
              <w:spacing w:before="60" w:after="60"/>
            </w:pPr>
            <w:r>
              <w:rPr>
                <w:b/>
              </w:rPr>
              <w:t xml:space="preserve">Vedtak: Redegjørelsen tas til orientering, sekretær utarbeider forslag til </w:t>
            </w:r>
            <w:proofErr w:type="spellStart"/>
            <w:r>
              <w:rPr>
                <w:b/>
              </w:rPr>
              <w:t>årshjul</w:t>
            </w:r>
            <w:proofErr w:type="spellEnd"/>
            <w:r>
              <w:rPr>
                <w:b/>
              </w:rPr>
              <w:t>.</w:t>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ind w:left="35" w:firstLine="0"/>
              <w:rPr>
                <w:color w:val="1A1A1A"/>
              </w:rPr>
            </w:pPr>
          </w:p>
        </w:tc>
        <w:tc>
          <w:tcPr>
            <w:tcW w:w="8573" w:type="dxa"/>
            <w:tcBorders>
              <w:top w:val="single" w:sz="6" w:space="0" w:color="000000"/>
              <w:left w:val="nil"/>
              <w:bottom w:val="single" w:sz="6" w:space="0" w:color="000000"/>
            </w:tcBorders>
          </w:tcPr>
          <w:p w:rsidR="007D2AEF" w:rsidRDefault="000033BD">
            <w:pPr>
              <w:pStyle w:val="normal0"/>
            </w:pPr>
            <w:r>
              <w:rPr>
                <w:b/>
              </w:rPr>
              <w:t>Presentasjon av status i valgkamparbeidet</w:t>
            </w:r>
          </w:p>
          <w:p w:rsidR="007D2AEF" w:rsidRDefault="000033BD">
            <w:pPr>
              <w:pStyle w:val="normal0"/>
            </w:pPr>
            <w:r>
              <w:t xml:space="preserve">Gøran Rasmussen Åland og Terje </w:t>
            </w:r>
            <w:proofErr w:type="spellStart"/>
            <w:r>
              <w:t>Cruickshank</w:t>
            </w:r>
            <w:proofErr w:type="spellEnd"/>
            <w:r>
              <w:t xml:space="preserve"> er valgkampsjefer. Begge har vært  i Oslo for opplæring på Rikspolitisk nettverk. </w:t>
            </w:r>
          </w:p>
          <w:p w:rsidR="007D2AEF" w:rsidRDefault="000033BD">
            <w:pPr>
              <w:pStyle w:val="normal0"/>
            </w:pPr>
            <w:r>
              <w:t xml:space="preserve">Det er laget ny profil til valgkampen, ny nettside (m/lavere brukerterskel). Det bør vurderes om all aktivitet på nettet fra lokallagene skal på Nordland Venstres side. </w:t>
            </w:r>
          </w:p>
          <w:p w:rsidR="007D2AEF" w:rsidRDefault="000033BD">
            <w:pPr>
              <w:pStyle w:val="normal0"/>
            </w:pPr>
            <w:r>
              <w:t>Det lages nå en valgkampplan, hva er vårt mål, analysere pluss/minus vi har, trusler, målgruppe, hvilket budskap som skal ut, materiell vi trenger og hva som skal gjøres hvor.</w:t>
            </w:r>
          </w:p>
          <w:p w:rsidR="000033BD" w:rsidRDefault="000033BD">
            <w:pPr>
              <w:pStyle w:val="normal0"/>
            </w:pPr>
          </w:p>
          <w:p w:rsidR="007D2AEF" w:rsidRDefault="000033BD">
            <w:pPr>
              <w:pStyle w:val="normal0"/>
              <w:spacing w:before="60" w:after="60"/>
            </w:pPr>
            <w:r>
              <w:rPr>
                <w:b/>
              </w:rPr>
              <w:t>Vedtak: Redegjørelsen tas til orientering</w:t>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ind w:left="35" w:firstLine="0"/>
              <w:rPr>
                <w:color w:val="1A1A1A"/>
              </w:rPr>
            </w:pPr>
          </w:p>
        </w:tc>
        <w:tc>
          <w:tcPr>
            <w:tcW w:w="8573" w:type="dxa"/>
            <w:tcBorders>
              <w:top w:val="single" w:sz="6" w:space="0" w:color="000000"/>
              <w:left w:val="nil"/>
              <w:bottom w:val="single" w:sz="6" w:space="0" w:color="000000"/>
            </w:tcBorders>
          </w:tcPr>
          <w:p w:rsidR="007D2AEF" w:rsidRDefault="000033BD">
            <w:pPr>
              <w:pStyle w:val="normal0"/>
            </w:pPr>
            <w:r>
              <w:rPr>
                <w:b/>
              </w:rPr>
              <w:t xml:space="preserve">Økonomirapportering. </w:t>
            </w:r>
          </w:p>
          <w:p w:rsidR="007D2AEF" w:rsidRDefault="000033BD">
            <w:pPr>
              <w:pStyle w:val="normal0"/>
            </w:pPr>
            <w:r>
              <w:t xml:space="preserve">Kasserer redegjorde for den økonomiske status. I 2014 har vi vært flinke økonomisk, i hovedsak et resultat av færre og billigere reiser. Pr 31.12.2014 har vi 237000,- på konto. Regnskapet vil bli ferdig i løpet av de neste 10 dager og bli sendt til revisjon. </w:t>
            </w:r>
            <w:r>
              <w:lastRenderedPageBreak/>
              <w:t>Med støtten som ventes inn, er det en ramme på 250000,- til valgkampen.</w:t>
            </w:r>
          </w:p>
          <w:p w:rsidR="000033BD" w:rsidRDefault="000033BD">
            <w:pPr>
              <w:pStyle w:val="normal0"/>
            </w:pPr>
          </w:p>
          <w:p w:rsidR="007D2AEF" w:rsidRDefault="000033BD">
            <w:pPr>
              <w:pStyle w:val="normal0"/>
              <w:spacing w:before="60" w:after="60"/>
            </w:pPr>
            <w:r>
              <w:rPr>
                <w:b/>
              </w:rPr>
              <w:t>Vedtak: Redegjørelsen tas til orientering</w:t>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ind w:left="35" w:firstLine="0"/>
              <w:rPr>
                <w:color w:val="1A1A1A"/>
              </w:rPr>
            </w:pPr>
          </w:p>
        </w:tc>
        <w:tc>
          <w:tcPr>
            <w:tcW w:w="8573" w:type="dxa"/>
            <w:tcBorders>
              <w:top w:val="single" w:sz="6" w:space="0" w:color="000000"/>
              <w:left w:val="nil"/>
              <w:bottom w:val="single" w:sz="6" w:space="0" w:color="000000"/>
            </w:tcBorders>
          </w:tcPr>
          <w:p w:rsidR="007D2AEF" w:rsidRDefault="000033BD">
            <w:pPr>
              <w:pStyle w:val="normal0"/>
            </w:pPr>
            <w:r>
              <w:rPr>
                <w:b/>
              </w:rPr>
              <w:t>Valgkampbudsjett</w:t>
            </w:r>
            <w:r>
              <w:t xml:space="preserve"> </w:t>
            </w:r>
          </w:p>
          <w:p w:rsidR="007D2AEF" w:rsidRDefault="000033BD">
            <w:pPr>
              <w:pStyle w:val="normal0"/>
            </w:pPr>
            <w:r>
              <w:t xml:space="preserve">Det er viktig å bruke pengene vi har lurest mulig. Det vil være billigere å leie en bil for en </w:t>
            </w:r>
            <w:proofErr w:type="spellStart"/>
            <w:r>
              <w:t>mnd</w:t>
            </w:r>
            <w:proofErr w:type="spellEnd"/>
            <w:r>
              <w:t xml:space="preserve"> i stedet for flere kortere leier gjennom valgkampen. </w:t>
            </w:r>
          </w:p>
          <w:p w:rsidR="007D2AEF" w:rsidRDefault="000033BD">
            <w:pPr>
              <w:pStyle w:val="normal0"/>
            </w:pPr>
            <w:r>
              <w:t xml:space="preserve">Kriterier må settes for å få valgkampstøtte lokalt. Mottatte søknader må nullstilles og sendes på nytt etter oppsatte kriterier. Søknadsfrist vil bli 1. mai. Det er ønskelig med frikjøp av toppkandidater før valgdatoen. Noen frikjøpsdager for valgkampkoordinatorene må også påberegnes (tapt arbeidsfortjeneste). </w:t>
            </w:r>
          </w:p>
          <w:p w:rsidR="007D2AEF" w:rsidRDefault="000033BD">
            <w:pPr>
              <w:pStyle w:val="normal0"/>
            </w:pPr>
            <w:r>
              <w:t>I dag er det 2 Venstrevenner i Nordland. Inntekt fra nye Venstrevenner kan gå uavkortet til valgkampen. Valgkamputvalg og kasserer utarbeider budsjett til valgkampen.</w:t>
            </w:r>
          </w:p>
          <w:p w:rsidR="000033BD" w:rsidRDefault="000033BD">
            <w:pPr>
              <w:pStyle w:val="normal0"/>
            </w:pPr>
          </w:p>
          <w:p w:rsidR="007D2AEF" w:rsidRDefault="000033BD">
            <w:pPr>
              <w:pStyle w:val="normal0"/>
              <w:spacing w:before="60" w:after="60"/>
            </w:pPr>
            <w:r>
              <w:rPr>
                <w:b/>
              </w:rPr>
              <w:t>Vedtak: budsjettet utarbeides av valgkamputvalg og kasserer. Rammen for valgkampbudsjettet er 250000,- pluss inntekter fra nye Venstrevenner. Krav for å bli vurdert for lokal valgkampstøtte er at studieaktivitet er rapportert, at årsregnskap er vedlagt og at søknaden er konkret (ikke blankofullmakt). Frist for søknad er 1. mai.</w:t>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ind w:left="35" w:firstLine="0"/>
              <w:rPr>
                <w:color w:val="1A1A1A"/>
              </w:rPr>
            </w:pPr>
          </w:p>
        </w:tc>
        <w:tc>
          <w:tcPr>
            <w:tcW w:w="8573" w:type="dxa"/>
            <w:tcBorders>
              <w:top w:val="single" w:sz="6" w:space="0" w:color="000000"/>
              <w:left w:val="nil"/>
              <w:bottom w:val="single" w:sz="6" w:space="0" w:color="000000"/>
            </w:tcBorders>
          </w:tcPr>
          <w:p w:rsidR="007D2AEF" w:rsidRDefault="000033BD">
            <w:pPr>
              <w:pStyle w:val="normal0"/>
            </w:pPr>
            <w:r>
              <w:rPr>
                <w:b/>
              </w:rPr>
              <w:t xml:space="preserve">Listestilling til kommunevalget 2015 </w:t>
            </w:r>
          </w:p>
          <w:p w:rsidR="000033BD" w:rsidRDefault="000033BD">
            <w:pPr>
              <w:pStyle w:val="normal0"/>
            </w:pPr>
            <w:r>
              <w:t>Statusrapport gitt av listestillingsansvarlig for Nordland, Arne Ivar Mikalsen og Kjartan Almenning</w:t>
            </w:r>
            <w:r>
              <w:rPr>
                <w:rFonts w:ascii="Calibri" w:eastAsia="Calibri" w:hAnsi="Calibri" w:cs="Calibri"/>
                <w:sz w:val="22"/>
              </w:rPr>
              <w:t xml:space="preserve">, </w:t>
            </w:r>
            <w:r>
              <w:t xml:space="preserve">VHO. Det ligger an til at vi får 21 lister i Nordland og det er 1 mer enn ved forrige valg. Det er viktig at fylkeslaget sikrer at lokallagene </w:t>
            </w:r>
            <w:r>
              <w:rPr>
                <w:u w:val="single"/>
              </w:rPr>
              <w:t>faktisk</w:t>
            </w:r>
            <w:r>
              <w:t xml:space="preserve"> får levert listene til kommunene innen fristen som er 31.mars </w:t>
            </w:r>
            <w:proofErr w:type="spellStart"/>
            <w:r>
              <w:t>kl</w:t>
            </w:r>
            <w:proofErr w:type="spellEnd"/>
            <w:r>
              <w:t xml:space="preserve"> 1200.</w:t>
            </w:r>
          </w:p>
          <w:p w:rsidR="007D2AEF" w:rsidRDefault="000033BD">
            <w:pPr>
              <w:pStyle w:val="normal0"/>
            </w:pPr>
            <w:r>
              <w:rPr>
                <w:b/>
              </w:rPr>
              <w:t xml:space="preserve"> </w:t>
            </w:r>
          </w:p>
          <w:p w:rsidR="007D2AEF" w:rsidRDefault="000033BD">
            <w:pPr>
              <w:pStyle w:val="normal0"/>
              <w:spacing w:before="60" w:after="60"/>
            </w:pPr>
            <w:r>
              <w:rPr>
                <w:b/>
              </w:rPr>
              <w:t>Vedtak: Orientering tas til etterretning.</w:t>
            </w:r>
          </w:p>
        </w:tc>
      </w:tr>
      <w:tr w:rsidR="007D2AEF">
        <w:tc>
          <w:tcPr>
            <w:tcW w:w="1507" w:type="dxa"/>
            <w:tcBorders>
              <w:top w:val="single" w:sz="6" w:space="0" w:color="000000"/>
              <w:left w:val="single" w:sz="6" w:space="0" w:color="000000"/>
              <w:bottom w:val="single" w:sz="6" w:space="0" w:color="000000"/>
              <w:right w:val="nil"/>
            </w:tcBorders>
          </w:tcPr>
          <w:p w:rsidR="007D2AEF" w:rsidRDefault="007D2AEF">
            <w:pPr>
              <w:pStyle w:val="normal0"/>
              <w:numPr>
                <w:ilvl w:val="0"/>
                <w:numId w:val="2"/>
              </w:numPr>
              <w:ind w:left="35" w:firstLine="0"/>
              <w:rPr>
                <w:color w:val="1A1A1A"/>
              </w:rPr>
            </w:pPr>
          </w:p>
        </w:tc>
        <w:tc>
          <w:tcPr>
            <w:tcW w:w="8573" w:type="dxa"/>
            <w:tcBorders>
              <w:top w:val="single" w:sz="6" w:space="0" w:color="000000"/>
              <w:left w:val="nil"/>
              <w:bottom w:val="single" w:sz="6" w:space="0" w:color="000000"/>
            </w:tcBorders>
          </w:tcPr>
          <w:p w:rsidR="007D2AEF" w:rsidRDefault="000033BD">
            <w:pPr>
              <w:pStyle w:val="normal0"/>
              <w:spacing w:before="60" w:after="60"/>
            </w:pPr>
            <w:r>
              <w:rPr>
                <w:b/>
              </w:rPr>
              <w:t>Eventuelt</w:t>
            </w:r>
          </w:p>
          <w:p w:rsidR="007D2AEF" w:rsidRDefault="000033BD">
            <w:pPr>
              <w:pStyle w:val="normal0"/>
              <w:numPr>
                <w:ilvl w:val="0"/>
                <w:numId w:val="1"/>
              </w:numPr>
              <w:spacing w:before="60" w:after="60"/>
              <w:ind w:hanging="359"/>
            </w:pPr>
            <w:r>
              <w:t>Sak 36/14</w:t>
            </w:r>
          </w:p>
          <w:p w:rsidR="007D2AEF" w:rsidRDefault="000033BD">
            <w:pPr>
              <w:pStyle w:val="normal0"/>
              <w:spacing w:before="60" w:after="60"/>
              <w:ind w:left="720"/>
            </w:pPr>
            <w:r>
              <w:t xml:space="preserve">Saken kom opp på nytt fordi det ble stilt spørsmål hva som ble vedtatt. Vedtaket er som følger: Nordland Venstre vedtar å øke satsen for kjøring i egen bil fra 2,- pr km til 4,- pr km. </w:t>
            </w:r>
          </w:p>
          <w:p w:rsidR="007D2AEF" w:rsidRDefault="000033BD">
            <w:pPr>
              <w:pStyle w:val="normal0"/>
              <w:spacing w:before="60" w:after="60"/>
            </w:pPr>
            <w:r>
              <w:rPr>
                <w:b/>
              </w:rPr>
              <w:t>Vedtak: Saken tas til etterretning</w:t>
            </w:r>
          </w:p>
        </w:tc>
      </w:tr>
    </w:tbl>
    <w:p w:rsidR="007D2AEF" w:rsidRDefault="007D2AEF">
      <w:pPr>
        <w:pStyle w:val="normal0"/>
        <w:spacing w:before="60" w:after="60"/>
      </w:pPr>
    </w:p>
    <w:sectPr w:rsidR="007D2AEF">
      <w:headerReference w:type="default" r:id="rId9"/>
      <w:footerReference w:type="default" r:id="rId10"/>
      <w:pgSz w:w="11907" w:h="16840"/>
      <w:pgMar w:top="245" w:right="567"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18" w:rsidRDefault="000033BD">
      <w:r>
        <w:separator/>
      </w:r>
    </w:p>
  </w:endnote>
  <w:endnote w:type="continuationSeparator" w:id="0">
    <w:p w:rsidR="001E4018" w:rsidRDefault="0000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EF" w:rsidRDefault="007D2AEF">
    <w:pPr>
      <w:pStyle w:val="normal0"/>
      <w:widowControl w:val="0"/>
      <w:spacing w:line="276" w:lineRule="auto"/>
    </w:pPr>
  </w:p>
  <w:tbl>
    <w:tblPr>
      <w:tblStyle w:val="a2"/>
      <w:tblW w:w="9426" w:type="dxa"/>
      <w:jc w:val="right"/>
      <w:tblInd w:w="-70" w:type="dxa"/>
      <w:tblLayout w:type="fixed"/>
      <w:tblLook w:val="0000" w:firstRow="0" w:lastRow="0" w:firstColumn="0" w:lastColumn="0" w:noHBand="0" w:noVBand="0"/>
    </w:tblPr>
    <w:tblGrid>
      <w:gridCol w:w="4536"/>
      <w:gridCol w:w="4890"/>
    </w:tblGrid>
    <w:tr w:rsidR="007D2AEF">
      <w:trPr>
        <w:jc w:val="right"/>
      </w:trPr>
      <w:tc>
        <w:tcPr>
          <w:tcW w:w="9426" w:type="dxa"/>
          <w:gridSpan w:val="2"/>
        </w:tcPr>
        <w:p w:rsidR="007D2AEF" w:rsidRDefault="000033BD">
          <w:pPr>
            <w:pStyle w:val="normal0"/>
            <w:spacing w:before="120"/>
          </w:pPr>
          <w:r>
            <w:rPr>
              <w:i/>
              <w:sz w:val="18"/>
            </w:rPr>
            <w:t xml:space="preserve">           </w:t>
          </w:r>
        </w:p>
      </w:tc>
    </w:tr>
    <w:tr w:rsidR="007D2AEF">
      <w:trPr>
        <w:jc w:val="right"/>
      </w:trPr>
      <w:tc>
        <w:tcPr>
          <w:tcW w:w="4536" w:type="dxa"/>
        </w:tcPr>
        <w:p w:rsidR="007D2AEF" w:rsidRDefault="007D2AEF">
          <w:pPr>
            <w:pStyle w:val="normal0"/>
            <w:jc w:val="right"/>
          </w:pPr>
        </w:p>
      </w:tc>
      <w:tc>
        <w:tcPr>
          <w:tcW w:w="4890" w:type="dxa"/>
        </w:tcPr>
        <w:p w:rsidR="007D2AEF" w:rsidRDefault="007D2AEF">
          <w:pPr>
            <w:pStyle w:val="normal0"/>
          </w:pPr>
        </w:p>
      </w:tc>
    </w:tr>
  </w:tbl>
  <w:p w:rsidR="007D2AEF" w:rsidRDefault="007D2AEF">
    <w:pPr>
      <w:pStyle w:val="normal0"/>
    </w:pPr>
  </w:p>
  <w:p w:rsidR="007D2AEF" w:rsidRDefault="007D2AEF">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18" w:rsidRDefault="000033BD">
      <w:r>
        <w:separator/>
      </w:r>
    </w:p>
  </w:footnote>
  <w:footnote w:type="continuationSeparator" w:id="0">
    <w:p w:rsidR="001E4018" w:rsidRDefault="00003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EF" w:rsidRDefault="007D2AEF">
    <w:pPr>
      <w:pStyle w:val="normal0"/>
      <w:widowControl w:val="0"/>
      <w:spacing w:line="276" w:lineRule="auto"/>
    </w:pPr>
  </w:p>
  <w:tbl>
    <w:tblPr>
      <w:tblStyle w:val="a1"/>
      <w:tblW w:w="9424" w:type="dxa"/>
      <w:jc w:val="right"/>
      <w:tblInd w:w="-70" w:type="dxa"/>
      <w:tblLayout w:type="fixed"/>
      <w:tblLook w:val="0000" w:firstRow="0" w:lastRow="0" w:firstColumn="0" w:lastColumn="0" w:noHBand="0" w:noVBand="0"/>
    </w:tblPr>
    <w:tblGrid>
      <w:gridCol w:w="2268"/>
      <w:gridCol w:w="3187"/>
      <w:gridCol w:w="2551"/>
      <w:gridCol w:w="1418"/>
    </w:tblGrid>
    <w:tr w:rsidR="007D2AEF">
      <w:trPr>
        <w:jc w:val="right"/>
      </w:trPr>
      <w:tc>
        <w:tcPr>
          <w:tcW w:w="2268" w:type="dxa"/>
        </w:tcPr>
        <w:p w:rsidR="007D2AEF" w:rsidRDefault="007D2AEF">
          <w:pPr>
            <w:pStyle w:val="normal0"/>
            <w:jc w:val="right"/>
          </w:pPr>
        </w:p>
      </w:tc>
      <w:tc>
        <w:tcPr>
          <w:tcW w:w="3187" w:type="dxa"/>
        </w:tcPr>
        <w:p w:rsidR="007D2AEF" w:rsidRDefault="007D2AEF">
          <w:pPr>
            <w:pStyle w:val="normal0"/>
            <w:jc w:val="right"/>
          </w:pPr>
        </w:p>
      </w:tc>
      <w:tc>
        <w:tcPr>
          <w:tcW w:w="3969" w:type="dxa"/>
          <w:gridSpan w:val="2"/>
        </w:tcPr>
        <w:p w:rsidR="007D2AEF" w:rsidRDefault="007D2AEF">
          <w:pPr>
            <w:pStyle w:val="normal0"/>
            <w:jc w:val="right"/>
          </w:pPr>
        </w:p>
      </w:tc>
    </w:tr>
    <w:tr w:rsidR="007D2AEF">
      <w:trPr>
        <w:jc w:val="right"/>
      </w:trPr>
      <w:tc>
        <w:tcPr>
          <w:tcW w:w="8006" w:type="dxa"/>
          <w:gridSpan w:val="3"/>
        </w:tcPr>
        <w:p w:rsidR="007D2AEF" w:rsidRDefault="007D2AEF">
          <w:pPr>
            <w:pStyle w:val="normal0"/>
            <w:spacing w:before="120" w:after="180"/>
          </w:pPr>
        </w:p>
      </w:tc>
      <w:tc>
        <w:tcPr>
          <w:tcW w:w="1418" w:type="dxa"/>
        </w:tcPr>
        <w:p w:rsidR="007D2AEF" w:rsidRDefault="000033BD">
          <w:pPr>
            <w:pStyle w:val="normal0"/>
            <w:spacing w:before="120" w:after="180"/>
            <w:jc w:val="right"/>
          </w:pPr>
          <w:r>
            <w:fldChar w:fldCharType="begin"/>
          </w:r>
          <w:r>
            <w:instrText>PAGE</w:instrText>
          </w:r>
          <w:r>
            <w:fldChar w:fldCharType="separate"/>
          </w:r>
          <w:r w:rsidR="000C292F">
            <w:rPr>
              <w:noProof/>
            </w:rPr>
            <w:t>4</w:t>
          </w:r>
          <w:r>
            <w:fldChar w:fldCharType="end"/>
          </w:r>
        </w:p>
      </w:tc>
    </w:tr>
  </w:tbl>
  <w:p w:rsidR="007D2AEF" w:rsidRDefault="007D2AEF">
    <w:pPr>
      <w:pStyle w:val="normal0"/>
    </w:pPr>
  </w:p>
  <w:p w:rsidR="007D2AEF" w:rsidRDefault="007D2AEF">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B30"/>
    <w:multiLevelType w:val="multilevel"/>
    <w:tmpl w:val="C096DF52"/>
    <w:lvl w:ilvl="0">
      <w:start w:val="1"/>
      <w:numFmt w:val="decimal"/>
      <w:lvlText w:val="Sak %1/15."/>
      <w:lvlJc w:val="left"/>
      <w:pPr>
        <w:ind w:left="1494" w:firstLine="1134"/>
      </w:pPr>
      <w:rPr>
        <w:rFonts w:ascii="Arial" w:eastAsia="Arial" w:hAnsi="Arial" w:cs="Arial"/>
        <w:sz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6522CCB"/>
    <w:multiLevelType w:val="multilevel"/>
    <w:tmpl w:val="683C67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2AEF"/>
    <w:rsid w:val="000033BD"/>
    <w:rsid w:val="000C292F"/>
    <w:rsid w:val="001E4018"/>
    <w:rsid w:val="007D2AE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contextualSpacing/>
      <w:outlineLvl w:val="0"/>
    </w:pPr>
    <w:rPr>
      <w:b/>
      <w:sz w:val="48"/>
    </w:rPr>
  </w:style>
  <w:style w:type="paragraph" w:styleId="Overskrift2">
    <w:name w:val="heading 2"/>
    <w:basedOn w:val="normal0"/>
    <w:next w:val="normal0"/>
    <w:pPr>
      <w:keepNext/>
      <w:keepLines/>
      <w:spacing w:before="360" w:after="80"/>
      <w:contextualSpacing/>
      <w:outlineLvl w:val="1"/>
    </w:pPr>
    <w:rPr>
      <w:b/>
      <w:sz w:val="36"/>
    </w:rPr>
  </w:style>
  <w:style w:type="paragraph" w:styleId="Overskrift3">
    <w:name w:val="heading 3"/>
    <w:basedOn w:val="normal0"/>
    <w:next w:val="normal0"/>
    <w:pPr>
      <w:keepNext/>
      <w:keepLines/>
      <w:spacing w:before="280" w:after="80"/>
      <w:contextualSpacing/>
      <w:outlineLvl w:val="2"/>
    </w:pPr>
    <w:rPr>
      <w:b/>
      <w:sz w:val="28"/>
    </w:rPr>
  </w:style>
  <w:style w:type="paragraph" w:styleId="Overskrift4">
    <w:name w:val="heading 4"/>
    <w:basedOn w:val="normal0"/>
    <w:next w:val="normal0"/>
    <w:pPr>
      <w:keepNext/>
      <w:keepLines/>
      <w:spacing w:before="240" w:after="40"/>
      <w:contextualSpacing/>
      <w:outlineLvl w:val="3"/>
    </w:pPr>
    <w:rPr>
      <w:b/>
    </w:rPr>
  </w:style>
  <w:style w:type="paragraph" w:styleId="Overskrift5">
    <w:name w:val="heading 5"/>
    <w:basedOn w:val="normal0"/>
    <w:next w:val="normal0"/>
    <w:pPr>
      <w:keepNext/>
      <w:keepLines/>
      <w:spacing w:before="220" w:after="40"/>
      <w:contextualSpacing/>
      <w:outlineLvl w:val="4"/>
    </w:pPr>
    <w:rPr>
      <w:b/>
      <w:sz w:val="22"/>
    </w:rPr>
  </w:style>
  <w:style w:type="paragraph" w:styleId="Overskrift6">
    <w:name w:val="heading 6"/>
    <w:basedOn w:val="normal0"/>
    <w:next w:val="normal0"/>
    <w:pPr>
      <w:keepNext/>
      <w:keepLines/>
      <w:spacing w:before="200" w:after="40"/>
      <w:contextualSpacing/>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before="480" w:after="120"/>
      <w:contextualSpacing/>
    </w:pPr>
    <w:rPr>
      <w:b/>
      <w:sz w:val="72"/>
    </w:rPr>
  </w:style>
  <w:style w:type="paragraph" w:styleId="Undertittel">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7" w:type="dxa"/>
        <w:bottom w:w="0" w:type="dxa"/>
        <w:right w:w="107" w:type="dxa"/>
      </w:tblCellMar>
    </w:tblPr>
  </w:style>
  <w:style w:type="table" w:customStyle="1" w:styleId="a0">
    <w:basedOn w:val="TableNormal"/>
    <w:tblPr>
      <w:tblStyleRowBandSize w:val="1"/>
      <w:tblStyleColBandSize w:val="1"/>
      <w:tblCellMar>
        <w:top w:w="0" w:type="dxa"/>
        <w:left w:w="107" w:type="dxa"/>
        <w:bottom w:w="0" w:type="dxa"/>
        <w:right w:w="107" w:type="dxa"/>
      </w:tblCellMar>
    </w:tblPr>
  </w:style>
  <w:style w:type="table" w:customStyle="1" w:styleId="a1">
    <w:basedOn w:val="TableNormal"/>
    <w:tblPr>
      <w:tblStyleRowBandSize w:val="1"/>
      <w:tblStyleColBandSize w:val="1"/>
      <w:tblCellMar>
        <w:top w:w="0" w:type="dxa"/>
        <w:left w:w="71" w:type="dxa"/>
        <w:bottom w:w="0" w:type="dxa"/>
        <w:right w:w="71" w:type="dxa"/>
      </w:tblCellMar>
    </w:tblPr>
  </w:style>
  <w:style w:type="table" w:customStyle="1" w:styleId="a2">
    <w:basedOn w:val="TableNormal"/>
    <w:tblPr>
      <w:tblStyleRowBandSize w:val="1"/>
      <w:tblStyleColBandSize w:val="1"/>
      <w:tblCellMar>
        <w:top w:w="0" w:type="dxa"/>
        <w:left w:w="71" w:type="dxa"/>
        <w:bottom w:w="0" w:type="dxa"/>
        <w:right w:w="71" w:type="dxa"/>
      </w:tblCellMar>
    </w:tblPr>
  </w:style>
  <w:style w:type="paragraph" w:styleId="Bobletekst">
    <w:name w:val="Balloon Text"/>
    <w:basedOn w:val="Normal"/>
    <w:link w:val="BobletekstTegn"/>
    <w:uiPriority w:val="99"/>
    <w:semiHidden/>
    <w:unhideWhenUsed/>
    <w:rsid w:val="000033B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033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contextualSpacing/>
      <w:outlineLvl w:val="0"/>
    </w:pPr>
    <w:rPr>
      <w:b/>
      <w:sz w:val="48"/>
    </w:rPr>
  </w:style>
  <w:style w:type="paragraph" w:styleId="Overskrift2">
    <w:name w:val="heading 2"/>
    <w:basedOn w:val="normal0"/>
    <w:next w:val="normal0"/>
    <w:pPr>
      <w:keepNext/>
      <w:keepLines/>
      <w:spacing w:before="360" w:after="80"/>
      <w:contextualSpacing/>
      <w:outlineLvl w:val="1"/>
    </w:pPr>
    <w:rPr>
      <w:b/>
      <w:sz w:val="36"/>
    </w:rPr>
  </w:style>
  <w:style w:type="paragraph" w:styleId="Overskrift3">
    <w:name w:val="heading 3"/>
    <w:basedOn w:val="normal0"/>
    <w:next w:val="normal0"/>
    <w:pPr>
      <w:keepNext/>
      <w:keepLines/>
      <w:spacing w:before="280" w:after="80"/>
      <w:contextualSpacing/>
      <w:outlineLvl w:val="2"/>
    </w:pPr>
    <w:rPr>
      <w:b/>
      <w:sz w:val="28"/>
    </w:rPr>
  </w:style>
  <w:style w:type="paragraph" w:styleId="Overskrift4">
    <w:name w:val="heading 4"/>
    <w:basedOn w:val="normal0"/>
    <w:next w:val="normal0"/>
    <w:pPr>
      <w:keepNext/>
      <w:keepLines/>
      <w:spacing w:before="240" w:after="40"/>
      <w:contextualSpacing/>
      <w:outlineLvl w:val="3"/>
    </w:pPr>
    <w:rPr>
      <w:b/>
    </w:rPr>
  </w:style>
  <w:style w:type="paragraph" w:styleId="Overskrift5">
    <w:name w:val="heading 5"/>
    <w:basedOn w:val="normal0"/>
    <w:next w:val="normal0"/>
    <w:pPr>
      <w:keepNext/>
      <w:keepLines/>
      <w:spacing w:before="220" w:after="40"/>
      <w:contextualSpacing/>
      <w:outlineLvl w:val="4"/>
    </w:pPr>
    <w:rPr>
      <w:b/>
      <w:sz w:val="22"/>
    </w:rPr>
  </w:style>
  <w:style w:type="paragraph" w:styleId="Overskrift6">
    <w:name w:val="heading 6"/>
    <w:basedOn w:val="normal0"/>
    <w:next w:val="normal0"/>
    <w:pPr>
      <w:keepNext/>
      <w:keepLines/>
      <w:spacing w:before="200" w:after="40"/>
      <w:contextualSpacing/>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before="480" w:after="120"/>
      <w:contextualSpacing/>
    </w:pPr>
    <w:rPr>
      <w:b/>
      <w:sz w:val="72"/>
    </w:rPr>
  </w:style>
  <w:style w:type="paragraph" w:styleId="Undertittel">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7" w:type="dxa"/>
        <w:bottom w:w="0" w:type="dxa"/>
        <w:right w:w="107" w:type="dxa"/>
      </w:tblCellMar>
    </w:tblPr>
  </w:style>
  <w:style w:type="table" w:customStyle="1" w:styleId="a0">
    <w:basedOn w:val="TableNormal"/>
    <w:tblPr>
      <w:tblStyleRowBandSize w:val="1"/>
      <w:tblStyleColBandSize w:val="1"/>
      <w:tblCellMar>
        <w:top w:w="0" w:type="dxa"/>
        <w:left w:w="107" w:type="dxa"/>
        <w:bottom w:w="0" w:type="dxa"/>
        <w:right w:w="107" w:type="dxa"/>
      </w:tblCellMar>
    </w:tblPr>
  </w:style>
  <w:style w:type="table" w:customStyle="1" w:styleId="a1">
    <w:basedOn w:val="TableNormal"/>
    <w:tblPr>
      <w:tblStyleRowBandSize w:val="1"/>
      <w:tblStyleColBandSize w:val="1"/>
      <w:tblCellMar>
        <w:top w:w="0" w:type="dxa"/>
        <w:left w:w="71" w:type="dxa"/>
        <w:bottom w:w="0" w:type="dxa"/>
        <w:right w:w="71" w:type="dxa"/>
      </w:tblCellMar>
    </w:tblPr>
  </w:style>
  <w:style w:type="table" w:customStyle="1" w:styleId="a2">
    <w:basedOn w:val="TableNormal"/>
    <w:tblPr>
      <w:tblStyleRowBandSize w:val="1"/>
      <w:tblStyleColBandSize w:val="1"/>
      <w:tblCellMar>
        <w:top w:w="0" w:type="dxa"/>
        <w:left w:w="71" w:type="dxa"/>
        <w:bottom w:w="0" w:type="dxa"/>
        <w:right w:w="71" w:type="dxa"/>
      </w:tblCellMar>
    </w:tblPr>
  </w:style>
  <w:style w:type="paragraph" w:styleId="Bobletekst">
    <w:name w:val="Balloon Text"/>
    <w:basedOn w:val="Normal"/>
    <w:link w:val="BobletekstTegn"/>
    <w:uiPriority w:val="99"/>
    <w:semiHidden/>
    <w:unhideWhenUsed/>
    <w:rsid w:val="000033B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033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6794</Characters>
  <Application>Microsoft Macintosh Word</Application>
  <DocSecurity>0</DocSecurity>
  <Lines>56</Lines>
  <Paragraphs>16</Paragraphs>
  <ScaleCrop>false</ScaleCrop>
  <Company>Aalan Gård</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23-240115 Referat Nordland Venstre utkast.doc.docx</dc:title>
  <cp:lastModifiedBy>Gøran Åland</cp:lastModifiedBy>
  <cp:revision>2</cp:revision>
  <dcterms:created xsi:type="dcterms:W3CDTF">2015-01-27T19:05:00Z</dcterms:created>
  <dcterms:modified xsi:type="dcterms:W3CDTF">2015-01-27T19:05:00Z</dcterms:modified>
</cp:coreProperties>
</file>